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C6" w:rsidRDefault="00202ACE" w:rsidP="00ED7AB4">
      <w:pPr>
        <w:pStyle w:val="NoSpacing"/>
      </w:pPr>
      <w:r>
        <w:t xml:space="preserve">ΜΑΘΗΜΑ:   </w:t>
      </w:r>
      <w:r w:rsidR="00C37859">
        <w:t>ΣΤΟΙΧΕΙΑ ΔΙ</w:t>
      </w:r>
      <w:r w:rsidR="00A977B0">
        <w:rPr>
          <w:lang w:val="en-US"/>
        </w:rPr>
        <w:t>A</w:t>
      </w:r>
      <w:r w:rsidR="00C37859">
        <w:t xml:space="preserve">ΓΝΩΣΤΙΚΗΣ ΑΠΕΙΚΟΝΙΣΗΣ </w:t>
      </w:r>
    </w:p>
    <w:p w:rsidR="00C37859" w:rsidRDefault="00C37859" w:rsidP="00ED7AB4">
      <w:pPr>
        <w:pStyle w:val="NoSpacing"/>
      </w:pPr>
    </w:p>
    <w:p w:rsidR="00C37859" w:rsidRDefault="00C37859" w:rsidP="00ED7AB4">
      <w:pPr>
        <w:pStyle w:val="NoSpacing"/>
      </w:pPr>
      <w:r>
        <w:t>ΥΛΗ ΕΞΕΤΑΣΕΩΝ</w:t>
      </w:r>
    </w:p>
    <w:p w:rsidR="00C37859" w:rsidRDefault="00C37859" w:rsidP="00ED7AB4">
      <w:pPr>
        <w:pStyle w:val="NoSpacing"/>
      </w:pPr>
    </w:p>
    <w:p w:rsidR="00C37859" w:rsidRDefault="00C37859" w:rsidP="00ED7AB4">
      <w:pPr>
        <w:pStyle w:val="NoSpacing"/>
      </w:pPr>
      <w:r>
        <w:t>ΒΙΒΛΙΟ</w:t>
      </w:r>
      <w:r w:rsidR="00202ACE">
        <w:t xml:space="preserve">: </w:t>
      </w:r>
      <w:r>
        <w:t xml:space="preserve"> ΚΛΙΝΙΚΗ ΑΚΤΙΝΟΛΟΓΙΑ – ΕΛΛΗΝΙΚΟ ΚΟΛΛΕΓΙΟ ΑΚΤΙΝΟΛΟΓΙΑΣ</w:t>
      </w:r>
    </w:p>
    <w:p w:rsidR="00C37859" w:rsidRDefault="00C37859" w:rsidP="00ED7AB4">
      <w:pPr>
        <w:pStyle w:val="NoSpacing"/>
      </w:pPr>
    </w:p>
    <w:p w:rsidR="00C37859" w:rsidRPr="0041550B" w:rsidRDefault="00ED7AB4" w:rsidP="00ED7AB4">
      <w:pPr>
        <w:pStyle w:val="NoSpacing"/>
      </w:pPr>
      <w:r>
        <w:t>Έμφαση στις μεθόδους απεικόνισης και την ακτινοανατομία</w:t>
      </w:r>
      <w:r w:rsidR="0041550B" w:rsidRPr="0041550B">
        <w:t xml:space="preserve"> </w:t>
      </w:r>
      <w:r w:rsidR="0041550B">
        <w:t xml:space="preserve">και τις </w:t>
      </w:r>
      <w:r w:rsidR="0041550B" w:rsidRPr="008503AB">
        <w:rPr>
          <w:u w:val="single"/>
        </w:rPr>
        <w:t>αναρτημένες παραδόσεις</w:t>
      </w:r>
    </w:p>
    <w:p w:rsidR="0041550B" w:rsidRPr="0041550B" w:rsidRDefault="0041550B" w:rsidP="00ED7AB4">
      <w:pPr>
        <w:pStyle w:val="NoSpacing"/>
      </w:pPr>
    </w:p>
    <w:p w:rsidR="00ED7AB4" w:rsidRDefault="00ED7AB4" w:rsidP="00ED7AB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393"/>
        <w:gridCol w:w="5805"/>
      </w:tblGrid>
      <w:tr w:rsidR="00202ACE" w:rsidTr="00386D98">
        <w:tc>
          <w:tcPr>
            <w:tcW w:w="3393" w:type="dxa"/>
          </w:tcPr>
          <w:p w:rsidR="00202ACE" w:rsidRDefault="00202ACE" w:rsidP="001D5BD4">
            <w:pPr>
              <w:pStyle w:val="NoSpacing"/>
              <w:spacing w:line="276" w:lineRule="auto"/>
            </w:pPr>
            <w:r>
              <w:t>Κεφάλαιο</w:t>
            </w:r>
          </w:p>
        </w:tc>
        <w:tc>
          <w:tcPr>
            <w:tcW w:w="5805" w:type="dxa"/>
          </w:tcPr>
          <w:p w:rsidR="00202ACE" w:rsidRDefault="00202ACE" w:rsidP="001D5BD4">
            <w:pPr>
              <w:pStyle w:val="NoSpacing"/>
              <w:spacing w:line="276" w:lineRule="auto"/>
            </w:pPr>
          </w:p>
        </w:tc>
      </w:tr>
      <w:tr w:rsidR="00386D98" w:rsidTr="00386D98">
        <w:tc>
          <w:tcPr>
            <w:tcW w:w="3393" w:type="dxa"/>
          </w:tcPr>
          <w:p w:rsidR="00386D98" w:rsidRDefault="00386D98" w:rsidP="001D5BD4">
            <w:pPr>
              <w:pStyle w:val="NoSpacing"/>
              <w:spacing w:line="276" w:lineRule="auto"/>
            </w:pPr>
            <w:r>
              <w:t xml:space="preserve">Εισαγωγή </w:t>
            </w:r>
          </w:p>
        </w:tc>
        <w:tc>
          <w:tcPr>
            <w:tcW w:w="5805" w:type="dxa"/>
          </w:tcPr>
          <w:p w:rsidR="00386D98" w:rsidRDefault="00ED7AB4" w:rsidP="001D5BD4">
            <w:pPr>
              <w:pStyle w:val="NoSpacing"/>
              <w:spacing w:line="276" w:lineRule="auto"/>
            </w:pPr>
            <w:r>
              <w:t>Ό</w:t>
            </w:r>
            <w:r w:rsidR="00386D98">
              <w:t>λ</w:t>
            </w:r>
            <w:r>
              <w:t xml:space="preserve">η </w:t>
            </w:r>
            <w:r w:rsidR="00386D98">
              <w:t xml:space="preserve"> </w:t>
            </w:r>
          </w:p>
        </w:tc>
      </w:tr>
      <w:tr w:rsidR="0041550B" w:rsidTr="00386D98">
        <w:tc>
          <w:tcPr>
            <w:tcW w:w="3393" w:type="dxa"/>
            <w:vMerge w:val="restart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 xml:space="preserve">Θώρακας </w:t>
            </w:r>
          </w:p>
        </w:tc>
        <w:tc>
          <w:tcPr>
            <w:tcW w:w="5805" w:type="dxa"/>
          </w:tcPr>
          <w:p w:rsidR="0041550B" w:rsidRDefault="0041550B" w:rsidP="0041550B">
            <w:pPr>
              <w:pStyle w:val="NoSpacing"/>
              <w:spacing w:line="276" w:lineRule="auto"/>
            </w:pPr>
            <w:r>
              <w:t>Τεχνικές απεικόνισης</w:t>
            </w:r>
          </w:p>
        </w:tc>
      </w:tr>
      <w:tr w:rsidR="0041550B" w:rsidTr="00386D98">
        <w:trPr>
          <w:trHeight w:val="260"/>
        </w:trPr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rPr>
                <w:rFonts w:hint="eastAsia"/>
              </w:rPr>
              <w:t>Α</w:t>
            </w:r>
            <w:r>
              <w:t xml:space="preserve">κτινοανατομία 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Βακτηριακη πνευμονια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Φυματίωση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Νεοπλάσματα πνευμόνων (Εισαγωγή, καρκίνος από πλακώδη κύτταρα &amp; αδενοκαρκίνωμα, πνευμονικές μεταστάσεις)</w:t>
            </w:r>
          </w:p>
        </w:tc>
      </w:tr>
      <w:tr w:rsidR="0041550B" w:rsidTr="00386D98">
        <w:tc>
          <w:tcPr>
            <w:tcW w:w="3393" w:type="dxa"/>
            <w:vMerge w:val="restart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Καρδιαγγειακό σύστημα</w:t>
            </w: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 xml:space="preserve">Πνευμονική εμβολή 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Χρόνια πνευμονική εμβολή</w:t>
            </w:r>
          </w:p>
        </w:tc>
      </w:tr>
      <w:tr w:rsidR="0041550B" w:rsidTr="00386D98">
        <w:tc>
          <w:tcPr>
            <w:tcW w:w="3393" w:type="dxa"/>
            <w:vMerge w:val="restart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Κοιλία – Γαστρεντερικό σύστημα</w:t>
            </w: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Λεπτό έντερο (Απεικονιστική προσέγγιση &amp; ακτινοανατομία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Παχύ έντερο (απεικονιστική προσέγγιση &amp; ακτινοανατομία)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Ήπαρ – Εισαγωγή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Χοληφόρα – Εισαγωγή – χολολιθίαση - χοληδοχολιθίαση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Πάγκρεα</w:t>
            </w:r>
            <w:r>
              <w:rPr>
                <w:rFonts w:hint="eastAsia"/>
              </w:rPr>
              <w:t>ς</w:t>
            </w:r>
            <w:r>
              <w:t xml:space="preserve"> – σπλήνας. Εισαγωγή - απεικονιστική προσέγγιση – ακτινοανατομία – οξεία παγκρεατίτιδα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Τραύμα κοιλίας - σπλήν</w:t>
            </w:r>
          </w:p>
        </w:tc>
      </w:tr>
      <w:tr w:rsidR="00386D98" w:rsidTr="00386D98">
        <w:tc>
          <w:tcPr>
            <w:tcW w:w="3393" w:type="dxa"/>
          </w:tcPr>
          <w:p w:rsidR="00386D98" w:rsidRDefault="00386D98" w:rsidP="001D5BD4">
            <w:pPr>
              <w:pStyle w:val="NoSpacing"/>
              <w:spacing w:line="276" w:lineRule="auto"/>
            </w:pPr>
            <w:r>
              <w:t>Ουροποιητικό σύστημα</w:t>
            </w:r>
          </w:p>
        </w:tc>
        <w:tc>
          <w:tcPr>
            <w:tcW w:w="5805" w:type="dxa"/>
          </w:tcPr>
          <w:p w:rsidR="00386D98" w:rsidRDefault="00386D98" w:rsidP="001D5BD4">
            <w:pPr>
              <w:pStyle w:val="NoSpacing"/>
              <w:spacing w:line="276" w:lineRule="auto"/>
            </w:pPr>
            <w:r>
              <w:t xml:space="preserve">Μέθοδοι – τεχνικές </w:t>
            </w:r>
            <w:r w:rsidR="00ED7AB4">
              <w:t>–</w:t>
            </w:r>
            <w:r>
              <w:t xml:space="preserve"> ακτινοανατομία</w:t>
            </w:r>
            <w:r w:rsidR="00ED7AB4">
              <w:t xml:space="preserve"> – Λιθιασική νόσος</w:t>
            </w:r>
          </w:p>
        </w:tc>
      </w:tr>
      <w:tr w:rsidR="0041550B" w:rsidTr="00386D98">
        <w:tc>
          <w:tcPr>
            <w:tcW w:w="3393" w:type="dxa"/>
            <w:vMerge w:val="restart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Κεντρικό νευρικό σύστημα</w:t>
            </w: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Η φυσιολογική ΥΤ εγκεφάλου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Η φυσιολογική ΜΤ εγκεφάλου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Απεικονιστική σημειολογία παθήσεων του εγκεφάλου σε ΥΤ και ΜΤ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Επισκληρίδιο αιμάτωμα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Υποσκληρίδιο αιμάτωμα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Οξεία εγκεφαλική ισχαιμία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Εγκεφαλικά ανευρύσματα</w:t>
            </w:r>
          </w:p>
        </w:tc>
      </w:tr>
      <w:tr w:rsidR="00ED7AB4" w:rsidTr="00386D98">
        <w:tc>
          <w:tcPr>
            <w:tcW w:w="3393" w:type="dxa"/>
          </w:tcPr>
          <w:p w:rsidR="00ED7AB4" w:rsidRDefault="00ED7AB4" w:rsidP="001D5BD4">
            <w:pPr>
              <w:pStyle w:val="NoSpacing"/>
              <w:spacing w:line="276" w:lineRule="auto"/>
            </w:pPr>
            <w:r>
              <w:t>Παθήσεις ΣΣ και ΝΜ</w:t>
            </w:r>
          </w:p>
        </w:tc>
        <w:tc>
          <w:tcPr>
            <w:tcW w:w="5805" w:type="dxa"/>
          </w:tcPr>
          <w:p w:rsidR="00ED7AB4" w:rsidRDefault="00ED7AB4" w:rsidP="001D5BD4">
            <w:pPr>
              <w:pStyle w:val="NoSpacing"/>
              <w:spacing w:line="276" w:lineRule="auto"/>
            </w:pPr>
            <w:r>
              <w:t>Κακώσεις ΣΣ</w:t>
            </w:r>
          </w:p>
        </w:tc>
      </w:tr>
      <w:tr w:rsidR="0041550B" w:rsidTr="00386D98">
        <w:tc>
          <w:tcPr>
            <w:tcW w:w="3393" w:type="dxa"/>
            <w:vMerge w:val="restart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Μυοσκελετικό σύστημα</w:t>
            </w: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Εισαγωγή – μέθοδοι απεικόνισης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rPr>
                <w:rFonts w:hint="eastAsia"/>
              </w:rPr>
              <w:t>Κ</w:t>
            </w:r>
            <w:r>
              <w:t xml:space="preserve">ακώσεις </w:t>
            </w:r>
          </w:p>
        </w:tc>
      </w:tr>
      <w:tr w:rsidR="0041550B" w:rsidTr="00386D98">
        <w:tc>
          <w:tcPr>
            <w:tcW w:w="3393" w:type="dxa"/>
            <w:vMerge/>
          </w:tcPr>
          <w:p w:rsidR="0041550B" w:rsidRDefault="0041550B" w:rsidP="001D5BD4">
            <w:pPr>
              <w:pStyle w:val="NoSpacing"/>
              <w:spacing w:line="276" w:lineRule="auto"/>
            </w:pPr>
          </w:p>
        </w:tc>
        <w:tc>
          <w:tcPr>
            <w:tcW w:w="5805" w:type="dxa"/>
          </w:tcPr>
          <w:p w:rsidR="0041550B" w:rsidRDefault="0041550B" w:rsidP="001D5BD4">
            <w:pPr>
              <w:pStyle w:val="NoSpacing"/>
              <w:spacing w:line="276" w:lineRule="auto"/>
            </w:pPr>
            <w:r>
              <w:t>Παθήσεις αρθρώσεων – ρευματοειδής αρθρίτιδα – ψωριασική αρθροπάθεια</w:t>
            </w:r>
          </w:p>
        </w:tc>
      </w:tr>
    </w:tbl>
    <w:p w:rsidR="00C37859" w:rsidRDefault="00C37859"/>
    <w:sectPr w:rsidR="00C37859" w:rsidSect="002F3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859"/>
    <w:rsid w:val="001D5BD4"/>
    <w:rsid w:val="00202ACE"/>
    <w:rsid w:val="00250F55"/>
    <w:rsid w:val="002D3E53"/>
    <w:rsid w:val="002F3FC6"/>
    <w:rsid w:val="00386D98"/>
    <w:rsid w:val="0041550B"/>
    <w:rsid w:val="005E5E54"/>
    <w:rsid w:val="006255D9"/>
    <w:rsid w:val="008503AB"/>
    <w:rsid w:val="00853E55"/>
    <w:rsid w:val="008D57D1"/>
    <w:rsid w:val="00A977B0"/>
    <w:rsid w:val="00C37859"/>
    <w:rsid w:val="00DB3142"/>
    <w:rsid w:val="00E401CE"/>
    <w:rsid w:val="00ED7AB4"/>
    <w:rsid w:val="00F8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42"/>
    <w:pPr>
      <w:shd w:val="clear" w:color="auto" w:fill="FFFFFF"/>
      <w:spacing w:after="0" w:line="240" w:lineRule="auto"/>
      <w:textAlignment w:val="baseline"/>
    </w:pPr>
    <w:rPr>
      <w:rFonts w:ascii="inherit" w:hAnsi="inherit" w:cs="Arial"/>
      <w:color w:val="000000"/>
      <w:sz w:val="24"/>
      <w:szCs w:val="24"/>
      <w:bdr w:val="none" w:sz="0" w:space="0" w:color="auto" w:frame="1"/>
      <w:shd w:val="clear" w:color="auto" w:fill="EEEEEE"/>
    </w:rPr>
  </w:style>
  <w:style w:type="paragraph" w:styleId="Heading2">
    <w:name w:val="heading 2"/>
    <w:basedOn w:val="Normal"/>
    <w:link w:val="Heading2Char"/>
    <w:uiPriority w:val="9"/>
    <w:qFormat/>
    <w:rsid w:val="00DB31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Heading3">
    <w:name w:val="heading 3"/>
    <w:basedOn w:val="Normal"/>
    <w:link w:val="Heading3Char"/>
    <w:uiPriority w:val="9"/>
    <w:qFormat/>
    <w:rsid w:val="00DB31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31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B31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DB31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DB31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B3142"/>
    <w:rPr>
      <w:b/>
      <w:bCs/>
    </w:rPr>
  </w:style>
  <w:style w:type="character" w:styleId="Emphasis">
    <w:name w:val="Emphasis"/>
    <w:basedOn w:val="DefaultParagraphFont"/>
    <w:uiPriority w:val="20"/>
    <w:qFormat/>
    <w:rsid w:val="00DB3142"/>
    <w:rPr>
      <w:i/>
      <w:iCs/>
    </w:rPr>
  </w:style>
  <w:style w:type="paragraph" w:styleId="NoSpacing">
    <w:name w:val="No Spacing"/>
    <w:uiPriority w:val="1"/>
    <w:qFormat/>
    <w:rsid w:val="00DB3142"/>
    <w:pPr>
      <w:spacing w:after="0" w:line="240" w:lineRule="auto"/>
    </w:pPr>
    <w:rPr>
      <w:bdr w:val="none" w:sz="0" w:space="0" w:color="auto" w:frame="1"/>
    </w:rPr>
  </w:style>
  <w:style w:type="table" w:styleId="TableGrid">
    <w:name w:val="Table Grid"/>
    <w:basedOn w:val="TableNormal"/>
    <w:uiPriority w:val="59"/>
    <w:rsid w:val="00C3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5</cp:revision>
  <dcterms:created xsi:type="dcterms:W3CDTF">2013-12-15T11:21:00Z</dcterms:created>
  <dcterms:modified xsi:type="dcterms:W3CDTF">2013-12-17T08:37:00Z</dcterms:modified>
</cp:coreProperties>
</file>